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AF1" w:rsidRDefault="00815060">
      <w:pPr>
        <w:jc w:val="center"/>
        <w:rPr>
          <w:b/>
          <w:bCs/>
          <w:u w:val="single"/>
        </w:rPr>
      </w:pPr>
      <w:r>
        <w:rPr>
          <w:b/>
          <w:bCs/>
          <w:u w:val="single"/>
        </w:rPr>
        <w:t>Arvus</w:t>
      </w:r>
    </w:p>
    <w:p w:rsidR="007B4AF1" w:rsidRDefault="00815060" w:rsidP="0070729C">
      <w:pPr>
        <w:jc w:val="both"/>
      </w:pPr>
      <w:r>
        <w:t>A central topic</w:t>
      </w:r>
      <w:r w:rsidR="003423FE">
        <w:rPr>
          <w:rStyle w:val="FootnoteReference"/>
        </w:rPr>
        <w:footnoteReference w:id="2"/>
      </w:r>
      <w:r>
        <w:t xml:space="preserve"> in </w:t>
      </w:r>
      <w:r>
        <w:rPr>
          <w:rFonts w:hint="cs"/>
          <w:rtl/>
        </w:rPr>
        <w:t>תורה</w:t>
      </w:r>
      <w:r>
        <w:t xml:space="preserve"> which, so to speak, doesn’t get the attention it deserves is Arvus. The level of responsibility that the Jewish people have for one another is truly amazing.  Let us reflect on the well known</w:t>
      </w:r>
      <w:r w:rsidR="0070729C">
        <w:t xml:space="preserve"> </w:t>
      </w:r>
      <w:r>
        <w:t>din of</w:t>
      </w:r>
      <w:r w:rsidR="0070729C">
        <w:t xml:space="preserve"> </w:t>
      </w:r>
      <w:r>
        <w:rPr>
          <w:rFonts w:hint="cs"/>
          <w:rtl/>
        </w:rPr>
        <w:t>אף על פי שיצא מוציא</w:t>
      </w:r>
      <w:r>
        <w:t xml:space="preserve"> – that even if one has fulfilled his </w:t>
      </w:r>
      <w:r>
        <w:rPr>
          <w:rFonts w:hint="cs"/>
          <w:rtl/>
        </w:rPr>
        <w:t>מצוה</w:t>
      </w:r>
      <w:r>
        <w:t xml:space="preserve"> </w:t>
      </w:r>
      <w:r w:rsidR="003423FE">
        <w:t xml:space="preserve">he </w:t>
      </w:r>
      <w:r>
        <w:t xml:space="preserve">can still act for another Jew who hasn’t yet fulfilled his </w:t>
      </w:r>
      <w:r>
        <w:rPr>
          <w:rFonts w:hint="cs"/>
          <w:rtl/>
        </w:rPr>
        <w:t>מצוה</w:t>
      </w:r>
      <w:r>
        <w:rPr>
          <w:rStyle w:val="FootnoteReference"/>
        </w:rPr>
        <w:footnoteReference w:id="3"/>
      </w:r>
      <w:r>
        <w:t>. Why is this so?</w:t>
      </w:r>
    </w:p>
    <w:p w:rsidR="007B4AF1" w:rsidRDefault="00815060" w:rsidP="003423FE">
      <w:pPr>
        <w:jc w:val="both"/>
      </w:pPr>
      <w:r>
        <w:rPr>
          <w:rFonts w:hint="cs"/>
          <w:rtl/>
        </w:rPr>
        <w:t>רש"י</w:t>
      </w:r>
      <w:r>
        <w:rPr>
          <w:rStyle w:val="FootnoteReference"/>
          <w:rtl/>
        </w:rPr>
        <w:footnoteReference w:id="4"/>
      </w:r>
      <w:r w:rsidR="003423FE">
        <w:t xml:space="preserve"> </w:t>
      </w:r>
      <w:r>
        <w:t>explains the rationale with the words</w:t>
      </w:r>
      <w:r w:rsidR="0070729C">
        <w:t xml:space="preserve"> </w:t>
      </w:r>
      <w:r>
        <w:t>-</w:t>
      </w:r>
      <w:r>
        <w:rPr>
          <w:rFonts w:hint="cs"/>
          <w:rtl/>
        </w:rPr>
        <w:t>כל ישראל ערבים זה לזה</w:t>
      </w:r>
      <w:r>
        <w:rPr>
          <w:rStyle w:val="FootnoteReference"/>
          <w:rtl/>
        </w:rPr>
        <w:footnoteReference w:id="5"/>
      </w:r>
      <w:r>
        <w:t xml:space="preserve"> , the </w:t>
      </w:r>
      <w:r>
        <w:rPr>
          <w:rFonts w:hint="cs"/>
          <w:rtl/>
        </w:rPr>
        <w:t>ר"ן</w:t>
      </w:r>
      <w:r w:rsidR="0070729C">
        <w:t xml:space="preserve"> </w:t>
      </w:r>
      <w:r>
        <w:t>adds that if your friend hasn’t fulfilled his respons</w:t>
      </w:r>
      <w:r>
        <w:t xml:space="preserve">ibility it’s as if you haven’t fulfilled yours! And the </w:t>
      </w:r>
      <w:r>
        <w:rPr>
          <w:rFonts w:hint="cs"/>
          <w:rtl/>
        </w:rPr>
        <w:t>ריטב"א</w:t>
      </w:r>
      <w:r w:rsidR="0070729C">
        <w:t xml:space="preserve"> </w:t>
      </w:r>
      <w:r>
        <w:t xml:space="preserve">writes that this is because </w:t>
      </w:r>
      <w:r>
        <w:rPr>
          <w:rFonts w:hint="cs"/>
          <w:rtl/>
        </w:rPr>
        <w:t xml:space="preserve">כלל ישראל </w:t>
      </w:r>
      <w:r>
        <w:t xml:space="preserve"> is ‘</w:t>
      </w:r>
      <w:r>
        <w:rPr>
          <w:rFonts w:hint="cs"/>
          <w:rtl/>
        </w:rPr>
        <w:t>כגוף אחד</w:t>
      </w:r>
      <w:r>
        <w:t>’- like one body. This isn’t some mystical</w:t>
      </w:r>
      <w:r w:rsidR="00AC5DC1">
        <w:t xml:space="preserve"> </w:t>
      </w:r>
      <w:r>
        <w:t xml:space="preserve">statement; this is the underlying reasoning behind a halacha which we </w:t>
      </w:r>
      <w:r w:rsidR="003423FE">
        <w:t>encounter</w:t>
      </w:r>
      <w:r>
        <w:t xml:space="preserve"> all the time! </w:t>
      </w:r>
    </w:p>
    <w:p w:rsidR="007B4AF1" w:rsidRDefault="00815060" w:rsidP="0070729C">
      <w:pPr>
        <w:jc w:val="both"/>
      </w:pPr>
      <w:r>
        <w:t>Arvus also dictates that one should forfeit his hiddur mitzvah for another</w:t>
      </w:r>
      <w:r w:rsidR="003423FE">
        <w:t>’</w:t>
      </w:r>
      <w:r>
        <w:t xml:space="preserve">s basic </w:t>
      </w:r>
      <w:r>
        <w:rPr>
          <w:rFonts w:hint="cs"/>
          <w:rtl/>
        </w:rPr>
        <w:t>מצוה</w:t>
      </w:r>
      <w:r>
        <w:rPr>
          <w:rStyle w:val="FootnoteReference"/>
          <w:rtl/>
        </w:rPr>
        <w:footnoteReference w:id="6"/>
      </w:r>
      <w:r>
        <w:t xml:space="preserve">. The </w:t>
      </w:r>
      <w:r>
        <w:rPr>
          <w:rStyle w:val="FootnoteReference"/>
        </w:rPr>
        <w:footnoteReference w:id="7"/>
      </w:r>
      <w:r>
        <w:rPr>
          <w:rFonts w:hint="cs"/>
          <w:rtl/>
        </w:rPr>
        <w:t>מגן אברהם</w:t>
      </w:r>
      <w:r>
        <w:t xml:space="preserve"> poskins that if you have ample oil to be </w:t>
      </w:r>
      <w:r>
        <w:rPr>
          <w:rFonts w:hint="cs"/>
          <w:rtl/>
        </w:rPr>
        <w:t>יוצא</w:t>
      </w:r>
      <w:r>
        <w:t xml:space="preserve"> the </w:t>
      </w:r>
      <w:r>
        <w:rPr>
          <w:rFonts w:hint="cs"/>
          <w:rtl/>
        </w:rPr>
        <w:t>נרות חנוכה למהדרין</w:t>
      </w:r>
      <w:r w:rsidR="003423FE">
        <w:t xml:space="preserve"> </w:t>
      </w:r>
      <w:r>
        <w:t xml:space="preserve">and your friend has no oil, you should </w:t>
      </w:r>
      <w:r w:rsidR="003423FE">
        <w:t>sacrifice</w:t>
      </w:r>
      <w:r>
        <w:t xml:space="preserve"> your hiddur and light one c</w:t>
      </w:r>
      <w:r>
        <w:t xml:space="preserve">andle in order that your friend can fulfill his basic </w:t>
      </w:r>
      <w:r>
        <w:rPr>
          <w:rFonts w:hint="cs"/>
          <w:rtl/>
        </w:rPr>
        <w:t>מצוה</w:t>
      </w:r>
      <w:r>
        <w:t>. Imagine this; you have been</w:t>
      </w:r>
      <w:r w:rsidR="00AC5DC1">
        <w:t xml:space="preserve"> </w:t>
      </w:r>
      <w:r>
        <w:t xml:space="preserve">learning about </w:t>
      </w:r>
      <w:r>
        <w:rPr>
          <w:rFonts w:hint="cs"/>
          <w:rtl/>
        </w:rPr>
        <w:t>חנוכה</w:t>
      </w:r>
      <w:r>
        <w:t xml:space="preserve"> for weeks and are full of excitement to fulfill the </w:t>
      </w:r>
      <w:r>
        <w:rPr>
          <w:rFonts w:hint="cs"/>
          <w:rtl/>
        </w:rPr>
        <w:t>מצוה</w:t>
      </w:r>
      <w:r>
        <w:t xml:space="preserve"> in the most </w:t>
      </w:r>
      <w:r>
        <w:rPr>
          <w:rFonts w:hint="cs"/>
          <w:rtl/>
        </w:rPr>
        <w:t>מהודר</w:t>
      </w:r>
      <w:r>
        <w:t xml:space="preserve"> way possible. You bought a beautiful silver </w:t>
      </w:r>
      <w:r>
        <w:rPr>
          <w:rFonts w:hint="cs"/>
          <w:rtl/>
        </w:rPr>
        <w:t>מנורה</w:t>
      </w:r>
      <w:r>
        <w:t xml:space="preserve">, the very best oil and </w:t>
      </w:r>
      <w:r>
        <w:t>the finest wicks.</w:t>
      </w:r>
      <w:r w:rsidR="00AC5DC1">
        <w:t xml:space="preserve"> </w:t>
      </w:r>
      <w:r>
        <w:t>As the time to light fast approaches your friends oil spills. The correct</w:t>
      </w:r>
      <w:r>
        <w:rPr>
          <w:rStyle w:val="FootnoteReference"/>
        </w:rPr>
        <w:footnoteReference w:id="8"/>
      </w:r>
      <w:r>
        <w:t xml:space="preserve"> thing to do is to disregard all your many ef</w:t>
      </w:r>
      <w:r w:rsidR="003423FE">
        <w:t>forts and give your friend the “</w:t>
      </w:r>
      <w:r>
        <w:t>extra</w:t>
      </w:r>
      <w:r w:rsidR="003423FE">
        <w:t>”</w:t>
      </w:r>
      <w:r>
        <w:t xml:space="preserve"> oil. Elsewhere, the</w:t>
      </w:r>
      <w:r w:rsidR="003423FE">
        <w:t xml:space="preserve"> </w:t>
      </w:r>
      <w:r>
        <w:rPr>
          <w:rFonts w:hint="cs"/>
          <w:rtl/>
        </w:rPr>
        <w:t>מגן אברהם</w:t>
      </w:r>
      <w:r>
        <w:rPr>
          <w:rStyle w:val="FootnoteReference"/>
          <w:rtl/>
        </w:rPr>
        <w:footnoteReference w:id="9"/>
      </w:r>
      <w:r>
        <w:t xml:space="preserve"> claims that one should </w:t>
      </w:r>
      <w:r w:rsidR="0070729C">
        <w:t>concede</w:t>
      </w:r>
      <w:r>
        <w:t xml:space="preserve"> his esrog</w:t>
      </w:r>
      <w:r w:rsidR="003423FE">
        <w:t xml:space="preserve"> </w:t>
      </w:r>
      <w:r>
        <w:t>to a comm</w:t>
      </w:r>
      <w:r>
        <w:t>unity that has no esrog</w:t>
      </w:r>
      <w:r w:rsidR="003423FE">
        <w:t xml:space="preserve"> </w:t>
      </w:r>
      <w:r>
        <w:t>and personally use his community’s esrog.</w:t>
      </w:r>
    </w:p>
    <w:p w:rsidR="007B4AF1" w:rsidRDefault="00815060" w:rsidP="00AC5DC1">
      <w:pPr>
        <w:jc w:val="both"/>
      </w:pPr>
      <w:r>
        <w:t>We even</w:t>
      </w:r>
      <w:r w:rsidR="0070729C">
        <w:t xml:space="preserve"> </w:t>
      </w:r>
      <w:r>
        <w:t xml:space="preserve">find examples of </w:t>
      </w:r>
      <w:r>
        <w:rPr>
          <w:i/>
        </w:rPr>
        <w:t>completely</w:t>
      </w:r>
      <w:r>
        <w:t xml:space="preserve"> giving up on your </w:t>
      </w:r>
      <w:r>
        <w:rPr>
          <w:rtl/>
        </w:rPr>
        <w:t xml:space="preserve">מצוה </w:t>
      </w:r>
      <w:r w:rsidR="0070729C">
        <w:t xml:space="preserve"> </w:t>
      </w:r>
      <w:r>
        <w:t xml:space="preserve">because of Arvus. The </w:t>
      </w:r>
      <w:r>
        <w:rPr>
          <w:rFonts w:hint="cs"/>
          <w:rtl/>
        </w:rPr>
        <w:t>מנ</w:t>
      </w:r>
      <w:r w:rsidR="00AC5DC1">
        <w:rPr>
          <w:rFonts w:hint="cs"/>
          <w:rtl/>
        </w:rPr>
        <w:t>חת</w:t>
      </w:r>
      <w:r>
        <w:rPr>
          <w:rFonts w:hint="cs"/>
          <w:rtl/>
        </w:rPr>
        <w:t xml:space="preserve"> אלעזר</w:t>
      </w:r>
      <w:r>
        <w:rPr>
          <w:rStyle w:val="FootnoteReference"/>
          <w:rtl/>
        </w:rPr>
        <w:footnoteReference w:id="10"/>
      </w:r>
      <w:r w:rsidR="0070729C">
        <w:t xml:space="preserve"> </w:t>
      </w:r>
      <w:r>
        <w:t xml:space="preserve">claims that one should give up his </w:t>
      </w:r>
      <w:r>
        <w:rPr>
          <w:rtl/>
        </w:rPr>
        <w:t>מצוה</w:t>
      </w:r>
      <w:r w:rsidR="0070729C">
        <w:t xml:space="preserve"> </w:t>
      </w:r>
      <w:r>
        <w:rPr>
          <w:rFonts w:hint="cs"/>
          <w:rtl/>
        </w:rPr>
        <w:t>דרבנן</w:t>
      </w:r>
      <w:r>
        <w:t xml:space="preserve"> for someone else’s</w:t>
      </w:r>
      <w:r w:rsidR="0070729C">
        <w:t xml:space="preserve"> </w:t>
      </w:r>
      <w:r>
        <w:rPr>
          <w:rtl/>
        </w:rPr>
        <w:t>מצוה</w:t>
      </w:r>
      <w:r w:rsidR="0070729C">
        <w:t xml:space="preserve"> </w:t>
      </w:r>
      <w:r>
        <w:rPr>
          <w:rFonts w:hint="cs"/>
          <w:rtl/>
        </w:rPr>
        <w:t>דאורייתא</w:t>
      </w:r>
      <w:r>
        <w:t>. He poskins that if one</w:t>
      </w:r>
      <w:r>
        <w:t xml:space="preserve"> has two shiurim of </w:t>
      </w:r>
      <w:r>
        <w:rPr>
          <w:rFonts w:hint="cs"/>
          <w:rtl/>
        </w:rPr>
        <w:t>מצה</w:t>
      </w:r>
      <w:r>
        <w:t xml:space="preserve">, one for the first night (which is </w:t>
      </w:r>
      <w:r>
        <w:rPr>
          <w:rFonts w:hint="cs"/>
          <w:rtl/>
        </w:rPr>
        <w:t>דאורייתא</w:t>
      </w:r>
      <w:r>
        <w:t>) and another for the second night</w:t>
      </w:r>
      <w:r w:rsidR="0070729C">
        <w:t xml:space="preserve"> </w:t>
      </w:r>
      <w:r>
        <w:t xml:space="preserve">(which is </w:t>
      </w:r>
      <w:r>
        <w:rPr>
          <w:rtl/>
        </w:rPr>
        <w:t>דרבנן</w:t>
      </w:r>
      <w:r>
        <w:t xml:space="preserve">) he should forfeit his second zayis for his friend who doesn’t have for the </w:t>
      </w:r>
      <w:r w:rsidR="0070729C">
        <w:t xml:space="preserve"> </w:t>
      </w:r>
      <w:r>
        <w:rPr>
          <w:rFonts w:hint="cs"/>
          <w:rtl/>
        </w:rPr>
        <w:t>דאורייתא</w:t>
      </w:r>
      <w:r w:rsidR="0070729C">
        <w:t xml:space="preserve"> </w:t>
      </w:r>
      <w:r>
        <w:t>of the first night.</w:t>
      </w:r>
      <w:r>
        <w:rPr>
          <w:rStyle w:val="FootnoteReference"/>
        </w:rPr>
        <w:footnoteReference w:id="11"/>
      </w:r>
    </w:p>
    <w:p w:rsidR="007B4AF1" w:rsidRDefault="007B4AF1">
      <w:pPr>
        <w:jc w:val="both"/>
        <w:rPr>
          <w:rtl/>
        </w:rPr>
      </w:pPr>
    </w:p>
    <w:p w:rsidR="007B4AF1" w:rsidRDefault="00815060" w:rsidP="00AC5DC1">
      <w:pPr>
        <w:jc w:val="both"/>
      </w:pPr>
      <w:r>
        <w:lastRenderedPageBreak/>
        <w:t>These are a few of the places whe</w:t>
      </w:r>
      <w:r>
        <w:t xml:space="preserve">re we find the </w:t>
      </w:r>
      <w:r w:rsidR="0070729C">
        <w:t>imprint</w:t>
      </w:r>
      <w:r>
        <w:t xml:space="preserve"> of Arvus.</w:t>
      </w:r>
      <w:r w:rsidR="0070729C">
        <w:t xml:space="preserve"> Arvus is usually thought of in a very </w:t>
      </w:r>
      <w:r w:rsidR="00AC5DC1">
        <w:t>broad</w:t>
      </w:r>
      <w:r w:rsidR="0070729C">
        <w:t xml:space="preserve"> way - a</w:t>
      </w:r>
      <w:r>
        <w:t xml:space="preserve">s in, “Am I </w:t>
      </w:r>
      <w:r>
        <w:t>is concerned with Klal Yisrael</w:t>
      </w:r>
      <w:r w:rsidR="0070729C">
        <w:t>’s future</w:t>
      </w:r>
      <w:r>
        <w:t xml:space="preserve"> or not?”</w:t>
      </w:r>
      <w:r w:rsidR="0070729C">
        <w:t xml:space="preserve"> </w:t>
      </w:r>
      <w:r>
        <w:t>Or “Will I choose a career in Jewish education or</w:t>
      </w:r>
      <w:r w:rsidR="0070729C">
        <w:t xml:space="preserve"> </w:t>
      </w:r>
      <w:r>
        <w:t>business?” While these questions are very imp</w:t>
      </w:r>
      <w:r>
        <w:t>ortant and certainly relate to one’s overall dedication to arvus, the issue is, in fact, far more pervasive.</w:t>
      </w:r>
    </w:p>
    <w:p w:rsidR="007B4AF1" w:rsidRDefault="00815060" w:rsidP="0070729C">
      <w:pPr>
        <w:jc w:val="both"/>
      </w:pPr>
      <w:r>
        <w:t xml:space="preserve">Arvus </w:t>
      </w:r>
      <w:r>
        <w:rPr>
          <w:i/>
          <w:iCs/>
        </w:rPr>
        <w:t>really</w:t>
      </w:r>
      <w:r>
        <w:t xml:space="preserve"> means I have an over</w:t>
      </w:r>
      <w:r>
        <w:t xml:space="preserve">-arching responsibility for the </w:t>
      </w:r>
      <w:r>
        <w:rPr>
          <w:rFonts w:hint="cs"/>
          <w:rtl/>
        </w:rPr>
        <w:t xml:space="preserve">  קיום מצוות</w:t>
      </w:r>
      <w:r>
        <w:t xml:space="preserve">of </w:t>
      </w:r>
      <w:r>
        <w:rPr>
          <w:i/>
          <w:iCs/>
        </w:rPr>
        <w:t>every</w:t>
      </w:r>
      <w:r w:rsidR="0070729C">
        <w:t xml:space="preserve"> Jew.  This is not </w:t>
      </w:r>
      <w:r>
        <w:t>just</w:t>
      </w:r>
      <w:r>
        <w:t xml:space="preserve"> about general life questions,</w:t>
      </w:r>
      <w:r>
        <w:t xml:space="preserve"> it is about every day of our lives. His </w:t>
      </w:r>
      <w:r>
        <w:rPr>
          <w:rFonts w:hint="cs"/>
          <w:rtl/>
        </w:rPr>
        <w:t xml:space="preserve">מצוות </w:t>
      </w:r>
      <w:r>
        <w:t xml:space="preserve"> are my </w:t>
      </w:r>
      <w:r>
        <w:rPr>
          <w:rFonts w:hint="cs"/>
          <w:rtl/>
        </w:rPr>
        <w:t>מצוות</w:t>
      </w:r>
      <w:r>
        <w:t>, and just as one is concerned about their children’s or student’s</w:t>
      </w:r>
      <w:r w:rsidR="0070729C">
        <w:t xml:space="preserve"> </w:t>
      </w:r>
      <w:r>
        <w:rPr>
          <w:rFonts w:hint="cs"/>
          <w:rtl/>
        </w:rPr>
        <w:t>מצוה</w:t>
      </w:r>
      <w:r w:rsidR="0070729C">
        <w:t xml:space="preserve"> </w:t>
      </w:r>
      <w:r>
        <w:t xml:space="preserve"> performance, one should be concerned with </w:t>
      </w:r>
      <w:r>
        <w:rPr>
          <w:i/>
          <w:iCs/>
        </w:rPr>
        <w:t>every</w:t>
      </w:r>
      <w:r>
        <w:t xml:space="preserve"> Jews </w:t>
      </w:r>
      <w:r>
        <w:rPr>
          <w:rFonts w:hint="cs"/>
          <w:rtl/>
        </w:rPr>
        <w:t>מצוה</w:t>
      </w:r>
      <w:r>
        <w:t xml:space="preserve"> performance. This is, of course, a tall order and perhaps thinking </w:t>
      </w:r>
      <w:r>
        <w:t>about it in its full scope will discourage us from being more real with it, as it seems to be</w:t>
      </w:r>
      <w:r w:rsidR="0070729C">
        <w:t xml:space="preserve"> </w:t>
      </w:r>
      <w:r>
        <w:rPr>
          <w:i/>
          <w:iCs/>
        </w:rPr>
        <w:t xml:space="preserve">too </w:t>
      </w:r>
      <w:r>
        <w:t>much for us.</w:t>
      </w:r>
    </w:p>
    <w:p w:rsidR="00AC5DC1" w:rsidRDefault="00AC5DC1" w:rsidP="0070729C">
      <w:pPr>
        <w:jc w:val="both"/>
      </w:pPr>
    </w:p>
    <w:p w:rsidR="007B4AF1" w:rsidRDefault="00815060" w:rsidP="0070729C">
      <w:pPr>
        <w:jc w:val="both"/>
      </w:pPr>
      <w:r>
        <w:t>So let us start slo</w:t>
      </w:r>
      <w:r w:rsidR="00AC5DC1">
        <w:t>wly, yet attempt to connect to A</w:t>
      </w:r>
      <w:r>
        <w:t>rvus in a deeper way than before. I will offer three</w:t>
      </w:r>
      <w:r w:rsidR="0070729C">
        <w:t xml:space="preserve"> </w:t>
      </w:r>
      <w:r>
        <w:t>applicable ideas now and a few more in “Ar</w:t>
      </w:r>
      <w:r>
        <w:t>vus – Part 2”.</w:t>
      </w:r>
    </w:p>
    <w:p w:rsidR="007B4AF1" w:rsidRDefault="00815060" w:rsidP="00AC5DC1">
      <w:pPr>
        <w:jc w:val="both"/>
      </w:pPr>
      <w:r>
        <w:rPr>
          <w:b/>
          <w:bCs/>
          <w:i/>
          <w:iCs/>
          <w:u w:val="single"/>
        </w:rPr>
        <w:t>Awareness</w:t>
      </w:r>
      <w:r>
        <w:rPr>
          <w:i/>
          <w:iCs/>
        </w:rPr>
        <w:t>-</w:t>
      </w:r>
      <w:r w:rsidR="00AC5DC1">
        <w:t xml:space="preserve"> G</w:t>
      </w:r>
      <w:r>
        <w:t xml:space="preserve">enerally, we have no awareness of Arvus. </w:t>
      </w:r>
      <w:r w:rsidR="00AC5DC1">
        <w:t xml:space="preserve">We are often myopically focused on our own </w:t>
      </w:r>
      <w:r w:rsidR="00AC5DC1">
        <w:rPr>
          <w:rFonts w:hint="cs"/>
          <w:rtl/>
        </w:rPr>
        <w:t>מצוות</w:t>
      </w:r>
      <w:r>
        <w:t xml:space="preserve">, but rarely </w:t>
      </w:r>
      <w:r w:rsidR="00AC5DC1">
        <w:t xml:space="preserve">on our </w:t>
      </w:r>
      <w:r>
        <w:t>friend’s</w:t>
      </w:r>
      <w:r w:rsidR="00AC5DC1">
        <w:t xml:space="preserve"> </w:t>
      </w:r>
      <w:r>
        <w:rPr>
          <w:rFonts w:hint="cs"/>
          <w:rtl/>
        </w:rPr>
        <w:t>מצוות</w:t>
      </w:r>
      <w:r>
        <w:t>. We can grow in Arvus by merely raising our consciousness level</w:t>
      </w:r>
      <w:r w:rsidR="00AC5DC1">
        <w:t xml:space="preserve"> </w:t>
      </w:r>
      <w:r>
        <w:t>towards</w:t>
      </w:r>
      <w:r w:rsidR="00AC5DC1">
        <w:t xml:space="preserve"> </w:t>
      </w:r>
      <w:r>
        <w:t xml:space="preserve">the </w:t>
      </w:r>
      <w:r>
        <w:rPr>
          <w:rFonts w:hint="cs"/>
          <w:rtl/>
        </w:rPr>
        <w:t>מצוות</w:t>
      </w:r>
      <w:r>
        <w:t xml:space="preserve"> of others. For example, when in a</w:t>
      </w:r>
      <w:r>
        <w:t xml:space="preserve"> minyan, realize that it isn’t just your tefillah you have to worry about, it is </w:t>
      </w:r>
      <w:r>
        <w:rPr>
          <w:i/>
          <w:iCs/>
        </w:rPr>
        <w:t>everyone’s</w:t>
      </w:r>
      <w:r>
        <w:t xml:space="preserve"> tefillah. This worry isn’t because you are a nice, concerned person; it is because their tefillah is </w:t>
      </w:r>
      <w:r>
        <w:rPr>
          <w:i/>
          <w:iCs/>
        </w:rPr>
        <w:t>your</w:t>
      </w:r>
      <w:r>
        <w:t xml:space="preserve"> tefillah and until everyone has davened you haven’t finish</w:t>
      </w:r>
      <w:r>
        <w:t>ed davening either.</w:t>
      </w:r>
    </w:p>
    <w:p w:rsidR="007B4AF1" w:rsidRDefault="00815060" w:rsidP="00EF1A71">
      <w:pPr>
        <w:jc w:val="both"/>
      </w:pPr>
      <w:r>
        <w:rPr>
          <w:b/>
          <w:i/>
          <w:u w:val="single"/>
        </w:rPr>
        <w:t>Change of perspective</w:t>
      </w:r>
      <w:r>
        <w:t>- After gaining a basic level of awareness one starts to view things radically differently. Until now, our encouraging others in their observance was to accrue extra zechusim for ourselves, for Kavod Shamayim, or a</w:t>
      </w:r>
      <w:r>
        <w:t xml:space="preserve">s a form of chesed. Through “Arvus awareness” it is elevated to a responsibility and a personal issue.  When I step aside to allow someone to take a seat in the Beis Midrash it isn’t just being polite; it is a fulfillment of Arvus. Before starting a fight </w:t>
      </w:r>
      <w:r>
        <w:t>in shul to make sure the tefillah is going to be in the nusach you want, you will think twice. Maybe this will be better for me, but what about my chiyuv to make sure everyone davens well? Together with the joy felt after fulfilling</w:t>
      </w:r>
      <w:r w:rsidR="00AC5DC1">
        <w:t xml:space="preserve"> </w:t>
      </w:r>
      <w:r>
        <w:rPr>
          <w:rFonts w:hint="cs"/>
          <w:rtl/>
        </w:rPr>
        <w:t>שופר</w:t>
      </w:r>
      <w:r>
        <w:t xml:space="preserve"> with all the hiddur</w:t>
      </w:r>
      <w:r>
        <w:t xml:space="preserve">im, </w:t>
      </w:r>
      <w:r w:rsidR="00EF1A71">
        <w:t>one</w:t>
      </w:r>
      <w:r>
        <w:t xml:space="preserve"> sigh</w:t>
      </w:r>
      <w:r w:rsidR="00EF1A71">
        <w:t>s</w:t>
      </w:r>
      <w:r>
        <w:t xml:space="preserve"> with the realization that as long as all </w:t>
      </w:r>
      <w:r w:rsidR="00EF1A71">
        <w:t>his</w:t>
      </w:r>
      <w:r>
        <w:t xml:space="preserve"> brothers haven’t heard the </w:t>
      </w:r>
      <w:r>
        <w:rPr>
          <w:rFonts w:hint="cs"/>
          <w:rtl/>
        </w:rPr>
        <w:t>שופר</w:t>
      </w:r>
      <w:r>
        <w:t xml:space="preserve"> </w:t>
      </w:r>
      <w:r w:rsidR="00EF1A71">
        <w:t>his</w:t>
      </w:r>
      <w:r>
        <w:t xml:space="preserve"> </w:t>
      </w:r>
      <w:r>
        <w:rPr>
          <w:rFonts w:hint="cs"/>
          <w:rtl/>
        </w:rPr>
        <w:t>מצוה</w:t>
      </w:r>
      <w:r>
        <w:t xml:space="preserve"> is sorely lacking.</w:t>
      </w:r>
      <w:r>
        <w:rPr>
          <w:rStyle w:val="FootnoteReference"/>
        </w:rPr>
        <w:footnoteReference w:id="12"/>
      </w:r>
    </w:p>
    <w:p w:rsidR="007B4AF1" w:rsidRDefault="00815060" w:rsidP="00EF1A71">
      <w:pPr>
        <w:jc w:val="both"/>
      </w:pPr>
      <w:r>
        <w:rPr>
          <w:b/>
          <w:bCs/>
          <w:i/>
          <w:iCs/>
          <w:u w:val="single"/>
        </w:rPr>
        <w:t xml:space="preserve">Feeling compelled to help others with </w:t>
      </w:r>
      <w:r>
        <w:rPr>
          <w:rFonts w:hint="cs"/>
          <w:b/>
          <w:bCs/>
          <w:i/>
          <w:iCs/>
          <w:u w:val="single"/>
          <w:rtl/>
        </w:rPr>
        <w:t>מצוות</w:t>
      </w:r>
      <w:r>
        <w:t>- As an effect of the aforementioned steps, one will feel com</w:t>
      </w:r>
      <w:r>
        <w:t xml:space="preserve">pelled to encourage any greater </w:t>
      </w:r>
      <w:r>
        <w:rPr>
          <w:rFonts w:hint="cs"/>
          <w:rtl/>
        </w:rPr>
        <w:t>מצוה</w:t>
      </w:r>
      <w:r>
        <w:t xml:space="preserve"> performance he can, as these are </w:t>
      </w:r>
      <w:r>
        <w:rPr>
          <w:i/>
          <w:iCs/>
        </w:rPr>
        <w:t>hi</w:t>
      </w:r>
      <w:r w:rsidR="00EF1A71">
        <w:rPr>
          <w:i/>
          <w:iCs/>
        </w:rPr>
        <w:t xml:space="preserve">s </w:t>
      </w:r>
      <w:r w:rsidR="00EF1A71">
        <w:rPr>
          <w:rFonts w:hint="cs"/>
          <w:i/>
          <w:iCs/>
          <w:rtl/>
        </w:rPr>
        <w:t>מצוות</w:t>
      </w:r>
      <w:r>
        <w:t>.</w:t>
      </w:r>
      <w:r>
        <w:rPr>
          <w:rStyle w:val="FootnoteReference"/>
        </w:rPr>
        <w:footnoteReference w:id="13"/>
      </w:r>
      <w:r>
        <w:t>Just as it is natural for one to feel duty-bound to learn and daven, he can gain those same feelings towards others.</w:t>
      </w:r>
    </w:p>
    <w:p w:rsidR="007B4AF1" w:rsidRDefault="007B4AF1">
      <w:pPr>
        <w:jc w:val="both"/>
      </w:pPr>
    </w:p>
    <w:p w:rsidR="007B4AF1" w:rsidRDefault="00815060" w:rsidP="00EF1A71">
      <w:pPr>
        <w:jc w:val="both"/>
      </w:pPr>
      <w:r w:rsidRPr="00AC5DC1">
        <w:rPr>
          <w:b/>
          <w:bCs/>
          <w:u w:val="single"/>
        </w:rPr>
        <w:t>Here is an Arvus test</w:t>
      </w:r>
      <w:r w:rsidR="00EF1A71">
        <w:rPr>
          <w:rFonts w:hint="cs"/>
          <w:rtl/>
        </w:rPr>
        <w:t xml:space="preserve"> - </w:t>
      </w:r>
      <w:r>
        <w:t xml:space="preserve">Do you ever </w:t>
      </w:r>
      <w:r>
        <w:rPr>
          <w:i/>
          <w:iCs/>
        </w:rPr>
        <w:t>feel</w:t>
      </w:r>
      <w:r>
        <w:t xml:space="preserve"> you should be help</w:t>
      </w:r>
      <w:r>
        <w:t xml:space="preserve">ing others with their </w:t>
      </w:r>
      <w:r>
        <w:rPr>
          <w:rFonts w:hint="cs"/>
          <w:rtl/>
        </w:rPr>
        <w:t>מצוות</w:t>
      </w:r>
      <w:r w:rsidR="00EF1A71">
        <w:t>? If so, why and when d</w:t>
      </w:r>
      <w:r>
        <w:t>o you feel this way?  How often does this happen to you?</w:t>
      </w:r>
    </w:p>
    <w:p w:rsidR="007B4AF1" w:rsidRDefault="00815060">
      <w:pPr>
        <w:jc w:val="both"/>
        <w:rPr>
          <w:rtl/>
        </w:rPr>
      </w:pPr>
      <w:r>
        <w:t>Gaining awareness and knowledge about this essential topic is already a huge step. As one grows in Arvus his hashkafa will change and new, wonderful feelings</w:t>
      </w:r>
      <w:r>
        <w:t xml:space="preserve"> will emerge. </w:t>
      </w:r>
    </w:p>
    <w:sectPr w:rsidR="007B4AF1" w:rsidSect="007B4AF1">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5060" w:rsidRDefault="00815060" w:rsidP="007B4AF1">
      <w:pPr>
        <w:spacing w:after="0" w:line="240" w:lineRule="auto"/>
      </w:pPr>
      <w:r>
        <w:separator/>
      </w:r>
    </w:p>
  </w:endnote>
  <w:endnote w:type="continuationSeparator" w:id="1">
    <w:p w:rsidR="00815060" w:rsidRDefault="00815060" w:rsidP="007B4A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F1" w:rsidRDefault="007B4AF1">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5060" w:rsidRDefault="00815060" w:rsidP="007B4AF1">
      <w:pPr>
        <w:spacing w:after="0" w:line="240" w:lineRule="auto"/>
      </w:pPr>
      <w:r>
        <w:separator/>
      </w:r>
    </w:p>
  </w:footnote>
  <w:footnote w:type="continuationSeparator" w:id="1">
    <w:p w:rsidR="00815060" w:rsidRDefault="00815060" w:rsidP="007B4AF1">
      <w:pPr>
        <w:spacing w:after="0" w:line="240" w:lineRule="auto"/>
      </w:pPr>
      <w:r>
        <w:continuationSeparator/>
      </w:r>
    </w:p>
  </w:footnote>
  <w:footnote w:id="2">
    <w:p w:rsidR="003423FE" w:rsidRDefault="003423FE" w:rsidP="003423FE">
      <w:pPr>
        <w:jc w:val="both"/>
      </w:pPr>
      <w:r>
        <w:rPr>
          <w:rStyle w:val="FootnoteReference"/>
        </w:rPr>
        <w:footnoteRef/>
      </w:r>
      <w:r>
        <w:t xml:space="preserve"> </w:t>
      </w:r>
      <w:r>
        <w:rPr>
          <w:sz w:val="20"/>
          <w:szCs w:val="20"/>
        </w:rPr>
        <w:t xml:space="preserve">No one should think because there is a directive tone in these essays that I mean to lecture from some “high place”. I write about things I also very much need to work on. It is just the nature of the material, my writing style, and for lucidity’s sake that I write this way. </w:t>
      </w:r>
    </w:p>
  </w:footnote>
  <w:footnote w:id="3">
    <w:p w:rsidR="007B4AF1" w:rsidRDefault="00815060">
      <w:pPr>
        <w:pStyle w:val="FootnoteText"/>
      </w:pPr>
      <w:r>
        <w:rPr>
          <w:rStyle w:val="FootnoteReference"/>
        </w:rPr>
        <w:footnoteRef/>
      </w:r>
      <w:r>
        <w:t xml:space="preserve"> As in a husband who has already made Kiddush making Kiddush again for </w:t>
      </w:r>
      <w:r>
        <w:t>his wife</w:t>
      </w:r>
    </w:p>
  </w:footnote>
  <w:footnote w:id="4">
    <w:p w:rsidR="007B4AF1" w:rsidRDefault="00815060">
      <w:pPr>
        <w:pStyle w:val="FootnoteText"/>
      </w:pPr>
      <w:r>
        <w:rPr>
          <w:rStyle w:val="FootnoteReference"/>
        </w:rPr>
        <w:footnoteRef/>
      </w:r>
      <w:r>
        <w:t xml:space="preserve"> </w:t>
      </w:r>
      <w:r>
        <w:rPr>
          <w:rFonts w:hint="cs"/>
          <w:rtl/>
        </w:rPr>
        <w:t xml:space="preserve">ראש השנה כט. </w:t>
      </w:r>
      <w:r>
        <w:t xml:space="preserve"> </w:t>
      </w:r>
    </w:p>
  </w:footnote>
  <w:footnote w:id="5">
    <w:p w:rsidR="007B4AF1" w:rsidRDefault="00815060">
      <w:pPr>
        <w:pStyle w:val="FootnoteText"/>
      </w:pPr>
      <w:r>
        <w:rPr>
          <w:rStyle w:val="FootnoteReference"/>
        </w:rPr>
        <w:footnoteRef/>
      </w:r>
      <w:r>
        <w:t xml:space="preserve"> All Israel are guarantors for each other</w:t>
      </w:r>
    </w:p>
  </w:footnote>
  <w:footnote w:id="6">
    <w:p w:rsidR="007B4AF1" w:rsidRDefault="00815060">
      <w:pPr>
        <w:pStyle w:val="FootnoteText"/>
        <w:rPr>
          <w:rtl/>
        </w:rPr>
      </w:pPr>
      <w:r>
        <w:rPr>
          <w:rStyle w:val="FootnoteReference"/>
        </w:rPr>
        <w:footnoteRef/>
      </w:r>
      <w:r>
        <w:t xml:space="preserve"> So explains the </w:t>
      </w:r>
      <w:r>
        <w:rPr>
          <w:rFonts w:hint="cs"/>
          <w:rtl/>
        </w:rPr>
        <w:t>שו"ת בצל החכמה ג:קו</w:t>
      </w:r>
    </w:p>
  </w:footnote>
  <w:footnote w:id="7">
    <w:p w:rsidR="007B4AF1" w:rsidRDefault="00815060">
      <w:pPr>
        <w:pStyle w:val="FootnoteText"/>
        <w:rPr>
          <w:rtl/>
        </w:rPr>
      </w:pPr>
      <w:r>
        <w:rPr>
          <w:rStyle w:val="FootnoteReference"/>
        </w:rPr>
        <w:footnoteRef/>
      </w:r>
      <w:r>
        <w:t xml:space="preserve"> </w:t>
      </w:r>
      <w:r>
        <w:rPr>
          <w:rFonts w:hint="cs"/>
          <w:rtl/>
        </w:rPr>
        <w:t>תרעא:א</w:t>
      </w:r>
    </w:p>
  </w:footnote>
  <w:footnote w:id="8">
    <w:p w:rsidR="007B4AF1" w:rsidRDefault="00815060">
      <w:pPr>
        <w:pStyle w:val="FootnoteText"/>
        <w:rPr>
          <w:rtl/>
        </w:rPr>
      </w:pPr>
      <w:r>
        <w:rPr>
          <w:rStyle w:val="FootnoteReference"/>
        </w:rPr>
        <w:footnoteRef/>
      </w:r>
      <w:r>
        <w:t xml:space="preserve"> The </w:t>
      </w:r>
      <w:r>
        <w:rPr>
          <w:rFonts w:hint="cs"/>
          <w:rtl/>
        </w:rPr>
        <w:t>מ"א</w:t>
      </w:r>
      <w:r>
        <w:t xml:space="preserve"> uses the </w:t>
      </w:r>
      <w:r>
        <w:rPr>
          <w:rFonts w:hint="cs"/>
          <w:rtl/>
        </w:rPr>
        <w:t>לשון 'מוטב'</w:t>
      </w:r>
      <w:r>
        <w:t xml:space="preserve"> and the </w:t>
      </w:r>
      <w:r>
        <w:rPr>
          <w:rFonts w:hint="cs"/>
          <w:rtl/>
        </w:rPr>
        <w:t>בצל החכמה</w:t>
      </w:r>
      <w:r>
        <w:t xml:space="preserve"> explaining him uses the </w:t>
      </w:r>
      <w:r>
        <w:rPr>
          <w:rFonts w:hint="cs"/>
          <w:rtl/>
        </w:rPr>
        <w:t>לשון 'חיוב'</w:t>
      </w:r>
    </w:p>
  </w:footnote>
  <w:footnote w:id="9">
    <w:p w:rsidR="007B4AF1" w:rsidRDefault="00815060">
      <w:pPr>
        <w:pStyle w:val="FootnoteText"/>
        <w:rPr>
          <w:rtl/>
        </w:rPr>
      </w:pPr>
      <w:r>
        <w:rPr>
          <w:rStyle w:val="FootnoteReference"/>
        </w:rPr>
        <w:footnoteRef/>
      </w:r>
      <w:r>
        <w:t xml:space="preserve"> </w:t>
      </w:r>
      <w:r>
        <w:rPr>
          <w:rFonts w:hint="cs"/>
          <w:rtl/>
        </w:rPr>
        <w:t>תרנח:יב</w:t>
      </w:r>
    </w:p>
  </w:footnote>
  <w:footnote w:id="10">
    <w:p w:rsidR="007B4AF1" w:rsidRDefault="00815060">
      <w:pPr>
        <w:pStyle w:val="FootnoteText"/>
        <w:rPr>
          <w:rtl/>
        </w:rPr>
      </w:pPr>
      <w:r>
        <w:rPr>
          <w:rStyle w:val="FootnoteReference"/>
        </w:rPr>
        <w:footnoteRef/>
      </w:r>
      <w:r>
        <w:t xml:space="preserve"> </w:t>
      </w:r>
      <w:r>
        <w:rPr>
          <w:rFonts w:hint="cs"/>
          <w:rtl/>
        </w:rPr>
        <w:t>ב:לח</w:t>
      </w:r>
    </w:p>
  </w:footnote>
  <w:footnote w:id="11">
    <w:p w:rsidR="007B4AF1" w:rsidRDefault="00815060">
      <w:pPr>
        <w:pStyle w:val="FootnoteText"/>
      </w:pPr>
      <w:r>
        <w:rPr>
          <w:rStyle w:val="FootnoteReference"/>
        </w:rPr>
        <w:footnoteRef/>
      </w:r>
      <w:r>
        <w:t xml:space="preserve"> The Halacha seems not to agree with him. The </w:t>
      </w:r>
      <w:r>
        <w:rPr>
          <w:rFonts w:hint="cs"/>
          <w:rtl/>
        </w:rPr>
        <w:t>מחצית השקל</w:t>
      </w:r>
      <w:r>
        <w:t xml:space="preserve"> brought by the </w:t>
      </w:r>
      <w:r>
        <w:rPr>
          <w:rFonts w:hint="cs"/>
          <w:rtl/>
        </w:rPr>
        <w:t>מ"ב</w:t>
      </w:r>
      <w:r>
        <w:t xml:space="preserve"> says that you may not have to give away your esrog in our times since the Khal’s esrog usually becomes pasul after a few days. Meaning, I may not have to give a </w:t>
      </w:r>
      <w:r>
        <w:rPr>
          <w:rFonts w:hint="cs"/>
          <w:rtl/>
        </w:rPr>
        <w:t>צבור</w:t>
      </w:r>
      <w:r>
        <w:t xml:space="preserve"> the </w:t>
      </w:r>
      <w:r>
        <w:rPr>
          <w:rFonts w:hint="cs"/>
          <w:rtl/>
        </w:rPr>
        <w:t>דאורייתא</w:t>
      </w:r>
      <w:r>
        <w:t xml:space="preserve"> o</w:t>
      </w:r>
      <w:r>
        <w:t xml:space="preserve">pportunity on the first day if I will miss a few </w:t>
      </w:r>
      <w:r>
        <w:rPr>
          <w:rFonts w:hint="cs"/>
          <w:rtl/>
        </w:rPr>
        <w:t>דרבנן</w:t>
      </w:r>
      <w:r>
        <w:t xml:space="preserve"> (as I may miss a few days when the Khal’s esrog goes off)</w:t>
      </w:r>
    </w:p>
  </w:footnote>
  <w:footnote w:id="12">
    <w:p w:rsidR="007B4AF1" w:rsidRDefault="00815060">
      <w:pPr>
        <w:pStyle w:val="FootnoteText"/>
        <w:rPr>
          <w:rtl/>
        </w:rPr>
      </w:pPr>
      <w:r>
        <w:rPr>
          <w:rStyle w:val="FootnoteReference"/>
        </w:rPr>
        <w:footnoteRef/>
      </w:r>
      <w:r>
        <w:t xml:space="preserve"> I heard this beautiful haarah from Rav Hillel Weinberg</w:t>
      </w:r>
      <w:r w:rsidR="00AC5DC1">
        <w:t>.</w:t>
      </w:r>
      <w:r>
        <w:rPr>
          <w:rFonts w:hint="cs"/>
          <w:rtl/>
        </w:rPr>
        <w:t xml:space="preserve"> </w:t>
      </w:r>
    </w:p>
  </w:footnote>
  <w:footnote w:id="13">
    <w:p w:rsidR="007B4AF1" w:rsidRDefault="00815060">
      <w:pPr>
        <w:pStyle w:val="FootnoteText"/>
        <w:jc w:val="both"/>
      </w:pPr>
      <w:r>
        <w:rPr>
          <w:rStyle w:val="FootnoteReference"/>
        </w:rPr>
        <w:footnoteRef/>
      </w:r>
      <w:r>
        <w:t xml:space="preserve"> Of course, one has to be very careful about how and when to express this concern an</w:t>
      </w:r>
      <w:r>
        <w:t>d needs hadracha from a Rav. Without guidance the very opposite of Arvus can occur, as the “</w:t>
      </w:r>
      <w:r>
        <w:rPr>
          <w:rFonts w:hint="cs"/>
          <w:rtl/>
        </w:rPr>
        <w:t>מצוה</w:t>
      </w:r>
      <w:r>
        <w:t xml:space="preserve"> man” may turn off many people with his enthusiasm, comments and (at least perceived) condescension.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F1" w:rsidRDefault="007B4AF1">
    <w:pP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tmpl w:val="CB4EE30A"/>
    <w:lvl w:ilvl="0" w:tplc="B01A71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7B4AF1"/>
    <w:rsid w:val="003423FE"/>
    <w:rsid w:val="0070729C"/>
    <w:rsid w:val="007B4AF1"/>
    <w:rsid w:val="00815060"/>
    <w:rsid w:val="00AC5DC1"/>
    <w:rsid w:val="00EF1A7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A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7B4AF1"/>
    <w:pPr>
      <w:spacing w:after="0" w:line="240" w:lineRule="auto"/>
    </w:pPr>
    <w:rPr>
      <w:sz w:val="20"/>
      <w:szCs w:val="20"/>
    </w:rPr>
  </w:style>
  <w:style w:type="character" w:customStyle="1" w:styleId="FootnoteTextChar">
    <w:name w:val="Footnote Text Char"/>
    <w:basedOn w:val="DefaultParagraphFont"/>
    <w:link w:val="FootnoteText"/>
    <w:uiPriority w:val="99"/>
    <w:rsid w:val="007B4AF1"/>
    <w:rPr>
      <w:sz w:val="20"/>
      <w:szCs w:val="20"/>
    </w:rPr>
  </w:style>
  <w:style w:type="character" w:styleId="FootnoteReference">
    <w:name w:val="footnote reference"/>
    <w:basedOn w:val="DefaultParagraphFont"/>
    <w:uiPriority w:val="99"/>
    <w:rsid w:val="007B4AF1"/>
    <w:rPr>
      <w:vertAlign w:val="superscript"/>
    </w:rPr>
  </w:style>
  <w:style w:type="paragraph" w:styleId="ListParagraph">
    <w:name w:val="List Paragraph"/>
    <w:basedOn w:val="Normal"/>
    <w:uiPriority w:val="34"/>
    <w:qFormat/>
    <w:rsid w:val="007B4AF1"/>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5DDA4-A7E1-46E0-BCA8-F5407A2D8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923</TotalTime>
  <Pages>3</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18</cp:revision>
  <dcterms:created xsi:type="dcterms:W3CDTF">2015-02-19T20:38:00Z</dcterms:created>
  <dcterms:modified xsi:type="dcterms:W3CDTF">2015-06-22T20:02:00Z</dcterms:modified>
</cp:coreProperties>
</file>